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bidi w:val="0"/>
        <w:adjustRightInd w:val="0"/>
        <w:snapToGrid w:val="0"/>
        <w:spacing w:line="600" w:lineRule="exact"/>
        <w:ind w:firstLine="0"/>
        <w:jc w:val="both"/>
        <w:textAlignment w:val="auto"/>
        <w:rPr>
          <w:rFonts w:ascii="方正仿宋_GBK" w:eastAsia="方正仿宋_GBK"/>
          <w:color w:val="auto"/>
          <w:lang w:eastAsia="zh-CN"/>
        </w:rPr>
      </w:pPr>
      <w:r>
        <w:rPr>
          <w:rFonts w:hint="eastAsia" w:ascii="方正黑体_GBK" w:hAnsi="方正黑体_GBK" w:eastAsia="方正黑体_GBK" w:cs="方正黑体_GBK"/>
          <w:color w:val="auto"/>
          <w:sz w:val="28"/>
          <w:szCs w:val="28"/>
        </w:rPr>
        <w:t>附件</w:t>
      </w:r>
      <w:r>
        <w:rPr>
          <w:rFonts w:hint="eastAsia" w:ascii="方正黑体_GBK" w:hAnsi="方正黑体_GBK" w:eastAsia="方正黑体_GBK" w:cs="方正黑体_GBK"/>
          <w:color w:val="auto"/>
          <w:sz w:val="28"/>
          <w:szCs w:val="28"/>
          <w:lang w:eastAsia="zh-CN"/>
        </w:rPr>
        <w:t>2</w:t>
      </w:r>
    </w:p>
    <w:p>
      <w:pPr>
        <w:pStyle w:val="17"/>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center"/>
        <w:textAlignment w:val="auto"/>
        <w:rPr>
          <w:rFonts w:hint="eastAsia" w:ascii="方正小标宋_GBK" w:eastAsia="方正小标宋_GBK"/>
          <w:color w:val="auto"/>
        </w:rPr>
      </w:pPr>
    </w:p>
    <w:p>
      <w:pPr>
        <w:pStyle w:val="17"/>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center"/>
        <w:textAlignment w:val="auto"/>
        <w:rPr>
          <w:rFonts w:ascii="方正小标宋_GBK" w:eastAsia="方正小标宋_GBK"/>
          <w:color w:val="auto"/>
          <w:lang w:eastAsia="zh-CN"/>
        </w:rPr>
      </w:pPr>
      <w:r>
        <w:rPr>
          <w:rFonts w:hint="eastAsia" w:ascii="方正小标宋_GBK" w:eastAsia="方正小标宋_GBK"/>
          <w:color w:val="auto"/>
        </w:rPr>
        <w:t>房屋建筑和市政基础设施工程质量检测机构</w:t>
      </w:r>
    </w:p>
    <w:p>
      <w:pPr>
        <w:pStyle w:val="17"/>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center"/>
        <w:textAlignment w:val="auto"/>
        <w:rPr>
          <w:rFonts w:ascii="方正小标宋_GBK" w:eastAsia="方正小标宋_GBK"/>
          <w:color w:val="auto"/>
          <w:lang w:eastAsia="zh-CN"/>
        </w:rPr>
      </w:pPr>
      <w:r>
        <w:rPr>
          <w:rFonts w:hint="eastAsia" w:ascii="方正小标宋_GBK" w:eastAsia="方正小标宋_GBK"/>
          <w:color w:val="auto"/>
        </w:rPr>
        <w:t>不良信用信息记分标准</w:t>
      </w:r>
    </w:p>
    <w:tbl>
      <w:tblPr>
        <w:tblStyle w:val="9"/>
        <w:tblW w:w="5131" w:type="pct"/>
        <w:tblInd w:w="-318" w:type="dxa"/>
        <w:tblLayout w:type="autofit"/>
        <w:tblCellMar>
          <w:top w:w="0" w:type="dxa"/>
          <w:left w:w="108" w:type="dxa"/>
          <w:bottom w:w="0" w:type="dxa"/>
          <w:right w:w="108" w:type="dxa"/>
        </w:tblCellMar>
      </w:tblPr>
      <w:tblGrid>
        <w:gridCol w:w="833"/>
        <w:gridCol w:w="7543"/>
        <w:gridCol w:w="921"/>
      </w:tblGrid>
      <w:tr>
        <w:tblPrEx>
          <w:tblCellMar>
            <w:top w:w="0" w:type="dxa"/>
            <w:left w:w="108" w:type="dxa"/>
            <w:bottom w:w="0" w:type="dxa"/>
            <w:right w:w="108" w:type="dxa"/>
          </w:tblCellMar>
        </w:tblPrEx>
        <w:trPr>
          <w:trHeight w:val="742"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黑体_GBK" w:cs="Times New Roman"/>
                <w:color w:val="auto"/>
                <w:lang w:eastAsia="zh-CN" w:bidi="ar-SA"/>
              </w:rPr>
            </w:pPr>
            <w:r>
              <w:rPr>
                <w:rFonts w:hint="default" w:ascii="Times New Roman" w:hAnsi="Times New Roman" w:eastAsia="方正黑体_GBK" w:cs="Times New Roman"/>
                <w:color w:val="auto"/>
                <w:lang w:eastAsia="zh-CN" w:bidi="ar-SA"/>
              </w:rPr>
              <w:t>序号</w:t>
            </w:r>
          </w:p>
        </w:tc>
        <w:tc>
          <w:tcPr>
            <w:tcW w:w="4056"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黑体_GBK" w:cs="Times New Roman"/>
                <w:color w:val="auto"/>
                <w:lang w:eastAsia="zh-CN" w:bidi="ar-SA"/>
              </w:rPr>
            </w:pPr>
            <w:r>
              <w:rPr>
                <w:rFonts w:hint="default" w:ascii="Times New Roman" w:hAnsi="Times New Roman" w:eastAsia="方正黑体_GBK" w:cs="Times New Roman"/>
                <w:color w:val="auto"/>
                <w:lang w:eastAsia="zh-CN" w:bidi="ar-SA"/>
              </w:rPr>
              <w:t>不良行为</w:t>
            </w:r>
          </w:p>
        </w:tc>
        <w:tc>
          <w:tcPr>
            <w:tcW w:w="49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黑体_GBK" w:cs="Times New Roman"/>
                <w:color w:val="auto"/>
                <w:lang w:eastAsia="zh-CN" w:bidi="ar-SA"/>
              </w:rPr>
            </w:pPr>
            <w:r>
              <w:rPr>
                <w:rFonts w:hint="default" w:ascii="Times New Roman" w:hAnsi="Times New Roman" w:eastAsia="方正黑体_GBK" w:cs="Times New Roman"/>
                <w:color w:val="auto"/>
                <w:lang w:eastAsia="zh-CN" w:bidi="ar-SA"/>
              </w:rPr>
              <w:t>记分分值</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涂改、倒卖、出租、出借、转让资质证书。</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12</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以欺骗、贿赂等不正当手段取得资质证书。</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12</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转包检测业务。</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12</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4</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未取得相应的资质，或超出资质许可范围从事检测活动。</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12</w:t>
            </w:r>
          </w:p>
        </w:tc>
      </w:tr>
      <w:tr>
        <w:tblPrEx>
          <w:tblCellMar>
            <w:top w:w="0" w:type="dxa"/>
            <w:left w:w="108" w:type="dxa"/>
            <w:bottom w:w="0" w:type="dxa"/>
            <w:right w:w="108" w:type="dxa"/>
          </w:tblCellMar>
        </w:tblPrEx>
        <w:trPr>
          <w:trHeight w:val="702"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5</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未按照国家有关工程建设强制性标准进行检测，造成质量事故或致使事故损失扩大。</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12</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6</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伪造、篡改检测数据和信息，出具虚假检测报告或鉴定结论。</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12</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7</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隐瞒有关情况或者提供虚假材料申请人员登记入库或资质。</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6</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8</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围标、串标、低价不正当竞争，扰乱市场，被查处。</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6</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9</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使用不符合条件的检测人员。</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6</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10</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档案资料管理混乱，造成检测数据无法追溯。</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6</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11</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lang w:eastAsia="zh-CN" w:bidi="ar-SA"/>
              </w:rPr>
              <w:t>检测报告结论不准确，造成不良后果。</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lang w:eastAsia="zh-CN" w:bidi="ar-SA"/>
              </w:rPr>
              <w:t>6</w:t>
            </w:r>
          </w:p>
        </w:tc>
      </w:tr>
      <w:tr>
        <w:tblPrEx>
          <w:tblCellMar>
            <w:top w:w="0" w:type="dxa"/>
            <w:left w:w="108" w:type="dxa"/>
            <w:bottom w:w="0" w:type="dxa"/>
            <w:right w:w="108" w:type="dxa"/>
          </w:tblCellMar>
        </w:tblPrEx>
        <w:trPr>
          <w:trHeight w:val="720"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12</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未上报检测过程中发现的参建方违规违法问题及检测结果不合格事项。</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6</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13</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伪造信用信息。</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6</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14</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不能持续满足资质标准要求。</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15</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未按委托管理要求承接检测业务。</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16</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推荐或者监制与检测业务有关的建筑材料、构配件和设备。</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17</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与委托单位等有隶属关系、股份关系或其他利害关系。</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617" w:hRule="exact"/>
        </w:trPr>
        <w:tc>
          <w:tcPr>
            <w:tcW w:w="4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18</w:t>
            </w:r>
          </w:p>
        </w:tc>
        <w:tc>
          <w:tcPr>
            <w:tcW w:w="4056"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lang w:eastAsia="zh-CN" w:bidi="ar-SA"/>
              </w:rPr>
              <w:t>未按照国家有关工程建设强制性标准进行检测，没有造成明显危害后果或不良影响。</w:t>
            </w:r>
          </w:p>
        </w:tc>
        <w:tc>
          <w:tcPr>
            <w:tcW w:w="49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12" w:hRule="exact"/>
        </w:trPr>
        <w:tc>
          <w:tcPr>
            <w:tcW w:w="4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19</w:t>
            </w:r>
          </w:p>
        </w:tc>
        <w:tc>
          <w:tcPr>
            <w:tcW w:w="4056"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检测报告结论不准确，未造成不良后果。</w:t>
            </w:r>
          </w:p>
        </w:tc>
        <w:tc>
          <w:tcPr>
            <w:tcW w:w="49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20</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未按见证取样送检规定履行检测相关工作职责。</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742"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黑体_GBK" w:cs="Times New Roman"/>
                <w:color w:val="auto"/>
                <w:lang w:eastAsia="zh-CN" w:bidi="ar-SA"/>
              </w:rPr>
            </w:pPr>
            <w:r>
              <w:rPr>
                <w:rFonts w:hint="default" w:ascii="Times New Roman" w:hAnsi="Times New Roman" w:eastAsia="方正黑体_GBK" w:cs="Times New Roman"/>
                <w:color w:val="auto"/>
                <w:lang w:eastAsia="zh-CN" w:bidi="ar-SA"/>
              </w:rPr>
              <w:t>序号</w:t>
            </w:r>
          </w:p>
        </w:tc>
        <w:tc>
          <w:tcPr>
            <w:tcW w:w="4056"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黑体_GBK" w:cs="Times New Roman"/>
                <w:color w:val="auto"/>
                <w:lang w:eastAsia="zh-CN" w:bidi="ar-SA"/>
              </w:rPr>
            </w:pPr>
            <w:r>
              <w:rPr>
                <w:rFonts w:hint="default" w:ascii="Times New Roman" w:hAnsi="Times New Roman" w:eastAsia="方正黑体_GBK" w:cs="Times New Roman"/>
                <w:color w:val="auto"/>
                <w:lang w:eastAsia="zh-CN" w:bidi="ar-SA"/>
              </w:rPr>
              <w:t>不良行为</w:t>
            </w:r>
          </w:p>
        </w:tc>
        <w:tc>
          <w:tcPr>
            <w:tcW w:w="49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黑体_GBK" w:cs="Times New Roman"/>
                <w:color w:val="auto"/>
                <w:lang w:eastAsia="zh-CN" w:bidi="ar-SA"/>
              </w:rPr>
            </w:pPr>
            <w:r>
              <w:rPr>
                <w:rFonts w:hint="default" w:ascii="Times New Roman" w:hAnsi="Times New Roman" w:eastAsia="方正黑体_GBK" w:cs="Times New Roman"/>
                <w:color w:val="auto"/>
                <w:lang w:eastAsia="zh-CN" w:bidi="ar-SA"/>
              </w:rPr>
              <w:t>记分分值</w:t>
            </w:r>
          </w:p>
        </w:tc>
      </w:tr>
      <w:tr>
        <w:tblPrEx>
          <w:tblCellMar>
            <w:top w:w="0" w:type="dxa"/>
            <w:left w:w="108" w:type="dxa"/>
            <w:bottom w:w="0" w:type="dxa"/>
            <w:right w:w="108" w:type="dxa"/>
          </w:tblCellMar>
        </w:tblPrEx>
        <w:trPr>
          <w:trHeight w:val="812"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21</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未按检测信息化管理要求开展检测工作，造成检测行为不可追溯。</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22</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无故不参加能力验证或能力验证不通过。</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23</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未按规定在检测报告上签字盖章。</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24</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其他被通报、公示的不良信用信息。</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w:t>
            </w:r>
          </w:p>
        </w:tc>
      </w:tr>
      <w:tr>
        <w:tblPrEx>
          <w:tblCellMar>
            <w:top w:w="0" w:type="dxa"/>
            <w:left w:w="108" w:type="dxa"/>
            <w:bottom w:w="0" w:type="dxa"/>
            <w:right w:w="108" w:type="dxa"/>
          </w:tblCellMar>
        </w:tblPrEx>
        <w:trPr>
          <w:trHeight w:val="437" w:hRule="exact"/>
        </w:trPr>
        <w:tc>
          <w:tcPr>
            <w:tcW w:w="448" w:type="pct"/>
            <w:tcBorders>
              <w:top w:val="nil"/>
              <w:left w:val="single" w:color="auto" w:sz="4" w:space="0"/>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25</w:t>
            </w:r>
          </w:p>
        </w:tc>
        <w:tc>
          <w:tcPr>
            <w:tcW w:w="4056"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检测机构信息发生变化，未按规定及时办理证书变更。</w:t>
            </w:r>
          </w:p>
        </w:tc>
        <w:tc>
          <w:tcPr>
            <w:tcW w:w="495" w:type="pct"/>
            <w:tcBorders>
              <w:top w:val="nil"/>
              <w:left w:val="nil"/>
              <w:bottom w:val="single" w:color="auto" w:sz="4" w:space="0"/>
              <w:right w:val="single" w:color="auto" w:sz="4" w:space="0"/>
            </w:tcBorders>
            <w:shd w:val="clear" w:color="000000" w:fill="FFFFFF"/>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r>
      <w:tr>
        <w:tblPrEx>
          <w:tblCellMar>
            <w:top w:w="0" w:type="dxa"/>
            <w:left w:w="108" w:type="dxa"/>
            <w:bottom w:w="0" w:type="dxa"/>
            <w:right w:w="108" w:type="dxa"/>
          </w:tblCellMar>
        </w:tblPrEx>
        <w:trPr>
          <w:trHeight w:val="633" w:hRule="atLeas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26</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检测样品标识、流转及留存不满足相关标准、规范、 管理办法等规定要求。</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r>
      <w:tr>
        <w:tblPrEx>
          <w:tblCellMar>
            <w:top w:w="0" w:type="dxa"/>
            <w:left w:w="108" w:type="dxa"/>
            <w:bottom w:w="0" w:type="dxa"/>
            <w:right w:w="108" w:type="dxa"/>
          </w:tblCellMar>
        </w:tblPrEx>
        <w:trPr>
          <w:trHeight w:val="699" w:hRule="atLeas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27</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仪器设备验收、检定、校准、使用及维护不满足相关标准、规范、管理办法等规定要求。</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r>
      <w:tr>
        <w:tblPrEx>
          <w:tblCellMar>
            <w:top w:w="0" w:type="dxa"/>
            <w:left w:w="108" w:type="dxa"/>
            <w:bottom w:w="0" w:type="dxa"/>
            <w:right w:w="108" w:type="dxa"/>
          </w:tblCellMar>
        </w:tblPrEx>
        <w:trPr>
          <w:trHeight w:val="665" w:hRule="atLeas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28</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检测环境条件不满足相关标准、规范、管理办法等 规定要求。</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r>
      <w:tr>
        <w:tblPrEx>
          <w:tblCellMar>
            <w:top w:w="0" w:type="dxa"/>
            <w:left w:w="108" w:type="dxa"/>
            <w:bottom w:w="0" w:type="dxa"/>
            <w:right w:w="108" w:type="dxa"/>
          </w:tblCellMar>
        </w:tblPrEx>
        <w:trPr>
          <w:trHeight w:val="598" w:hRule="atLeas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29</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档案资料存档、保存不满足相关标准、规范、管理办法等规定要求</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r>
      <w:tr>
        <w:tblPrEx>
          <w:tblCellMar>
            <w:top w:w="0" w:type="dxa"/>
            <w:left w:w="108" w:type="dxa"/>
            <w:bottom w:w="0" w:type="dxa"/>
            <w:right w:w="108" w:type="dxa"/>
          </w:tblCellMar>
        </w:tblPrEx>
        <w:trPr>
          <w:trHeight w:val="677" w:hRule="atLeas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30</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标准规范配置、更新、借阅及保存不满足相关标准、 规范、管理办法等规定要求。</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r>
      <w:tr>
        <w:tblPrEx>
          <w:tblCellMar>
            <w:top w:w="0" w:type="dxa"/>
            <w:left w:w="108" w:type="dxa"/>
            <w:bottom w:w="0" w:type="dxa"/>
            <w:right w:w="108" w:type="dxa"/>
          </w:tblCellMar>
        </w:tblPrEx>
        <w:trPr>
          <w:trHeight w:val="454" w:hRule="exact"/>
        </w:trPr>
        <w:tc>
          <w:tcPr>
            <w:tcW w:w="448"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31</w:t>
            </w:r>
          </w:p>
        </w:tc>
        <w:tc>
          <w:tcPr>
            <w:tcW w:w="4056"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原始记录信息不全。</w:t>
            </w:r>
          </w:p>
        </w:tc>
        <w:tc>
          <w:tcPr>
            <w:tcW w:w="495" w:type="pct"/>
            <w:tcBorders>
              <w:top w:val="nil"/>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r>
      <w:tr>
        <w:tblPrEx>
          <w:tblCellMar>
            <w:top w:w="0" w:type="dxa"/>
            <w:left w:w="108" w:type="dxa"/>
            <w:bottom w:w="0" w:type="dxa"/>
            <w:right w:w="108" w:type="dxa"/>
          </w:tblCellMar>
        </w:tblPrEx>
        <w:trPr>
          <w:trHeight w:val="454" w:hRule="exact"/>
        </w:trPr>
        <w:tc>
          <w:tcPr>
            <w:tcW w:w="44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32</w:t>
            </w:r>
          </w:p>
        </w:tc>
        <w:tc>
          <w:tcPr>
            <w:tcW w:w="4056"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both"/>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检测报告信息不全。</w:t>
            </w:r>
          </w:p>
        </w:tc>
        <w:tc>
          <w:tcPr>
            <w:tcW w:w="495" w:type="pct"/>
            <w:tcBorders>
              <w:top w:val="single" w:color="auto" w:sz="4" w:space="0"/>
              <w:left w:val="nil"/>
              <w:bottom w:val="single" w:color="auto" w:sz="4" w:space="0"/>
              <w:right w:val="single" w:color="auto" w:sz="4" w:space="0"/>
            </w:tcBorders>
            <w:shd w:val="clear" w:color="000000" w:fill="FFFFFF"/>
            <w:vAlign w:val="center"/>
          </w:tcPr>
          <w:p>
            <w:pPr>
              <w:widowControl/>
              <w:adjustRightInd w:val="0"/>
              <w:snapToGrid w:val="0"/>
              <w:spacing w:line="320" w:lineRule="exact"/>
              <w:jc w:val="center"/>
              <w:rPr>
                <w:rFonts w:hint="default" w:ascii="Times New Roman" w:hAnsi="Times New Roman" w:eastAsia="方正仿宋_GBK" w:cs="Times New Roman"/>
                <w:color w:val="auto"/>
                <w:lang w:eastAsia="zh-CN" w:bidi="ar-SA"/>
              </w:rPr>
            </w:pPr>
            <w:r>
              <w:rPr>
                <w:rFonts w:hint="default" w:ascii="Times New Roman" w:hAnsi="Times New Roman" w:eastAsia="方正仿宋_GBK" w:cs="Times New Roman"/>
                <w:color w:val="auto"/>
                <w:lang w:eastAsia="zh-CN" w:bidi="ar-SA"/>
              </w:rPr>
              <w:t>1</w:t>
            </w:r>
          </w:p>
        </w:tc>
      </w:tr>
    </w:tbl>
    <w:p>
      <w:pPr>
        <w:spacing w:line="560" w:lineRule="exact"/>
        <w:rPr>
          <w:rFonts w:hint="default" w:ascii="Times New Roman" w:hAnsi="Times New Roman" w:eastAsia="方正仿宋_GBK" w:cs="Times New Roman"/>
          <w:color w:val="auto"/>
          <w:lang w:eastAsia="zh-CN"/>
        </w:rPr>
      </w:pPr>
      <w:r>
        <w:rPr>
          <w:rFonts w:hint="eastAsia" w:ascii="方正仿宋_GBK" w:hAnsi="方正仿宋_GBK" w:eastAsia="方正仿宋_GBK"/>
          <w:color w:val="auto"/>
          <w:lang w:eastAsia="zh-CN"/>
        </w:rPr>
        <w:t>注：</w:t>
      </w:r>
      <w:r>
        <w:rPr>
          <w:rFonts w:hint="default" w:ascii="Times New Roman" w:hAnsi="Times New Roman" w:eastAsia="方正仿宋_GBK" w:cs="Times New Roman"/>
          <w:color w:val="auto"/>
          <w:lang w:eastAsia="zh-CN"/>
        </w:rPr>
        <w:t>1.同一不良行为被记分30天后仍未整改的，可再次记分。</w:t>
      </w:r>
    </w:p>
    <w:p>
      <w:pPr>
        <w:spacing w:line="560" w:lineRule="exact"/>
        <w:ind w:firstLine="480" w:firstLineChars="200"/>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t>2</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lang w:eastAsia="zh-CN"/>
        </w:rPr>
        <w:t>同一不良行为被行政处罚的，按行政处罚的记分标准记分。</w:t>
      </w:r>
    </w:p>
    <w:p>
      <w:pPr>
        <w:spacing w:line="560" w:lineRule="exact"/>
        <w:ind w:firstLine="480" w:firstLineChars="200"/>
        <w:rPr>
          <w:rFonts w:ascii="方正仿宋_GBK" w:hAnsi="方正仿宋_GBK" w:eastAsia="方正仿宋_GBK"/>
          <w:color w:val="auto"/>
          <w:lang w:eastAsia="zh-CN"/>
        </w:rPr>
      </w:pPr>
      <w:r>
        <w:rPr>
          <w:rFonts w:hint="default" w:ascii="Times New Roman" w:hAnsi="Times New Roman" w:eastAsia="方正仿宋_GBK" w:cs="Times New Roman"/>
          <w:color w:val="auto"/>
          <w:lang w:eastAsia="zh-CN"/>
        </w:rPr>
        <w:t>3.检测机构发现本机构人员存在不良行为，及时向住房和城乡建设主管部门报告，并主动消除不良影响或有效阻止危害结果发生的，对该机构可不予记分。</w:t>
      </w:r>
    </w:p>
    <w:p>
      <w:pPr>
        <w:pStyle w:val="17"/>
        <w:adjustRightInd w:val="0"/>
        <w:snapToGrid w:val="0"/>
        <w:spacing w:line="540" w:lineRule="exact"/>
        <w:ind w:firstLine="600" w:firstLineChars="200"/>
        <w:jc w:val="both"/>
        <w:rPr>
          <w:rFonts w:ascii="方正仿宋_GBK" w:eastAsia="方正仿宋_GBK"/>
          <w:color w:val="auto"/>
          <w:lang w:val="en-US" w:eastAsia="zh-CN"/>
        </w:rPr>
      </w:pPr>
    </w:p>
    <w:p>
      <w:pPr>
        <w:widowControl/>
        <w:rPr>
          <w:rFonts w:ascii="方正仿宋_GBK" w:hAnsi="宋体" w:eastAsia="方正仿宋_GBK" w:cs="宋体"/>
          <w:color w:val="auto"/>
          <w:kern w:val="2"/>
          <w:sz w:val="30"/>
          <w:szCs w:val="30"/>
          <w:lang w:val="zh-TW" w:eastAsia="zh-TW" w:bidi="zh-TW"/>
        </w:rPr>
      </w:pPr>
    </w:p>
    <w:p>
      <w:pPr>
        <w:widowControl/>
        <w:adjustRightInd w:val="0"/>
        <w:snapToGrid w:val="0"/>
        <w:spacing w:beforeLines="100" w:line="540" w:lineRule="exact"/>
        <w:jc w:val="both"/>
        <w:rPr>
          <w:rFonts w:ascii="方正小标宋_GBK" w:eastAsia="方正小标宋_GBK"/>
          <w:color w:val="auto"/>
          <w:lang w:eastAsia="zh-CN"/>
        </w:rPr>
      </w:pPr>
    </w:p>
    <w:p>
      <w:pPr>
        <w:widowControl/>
        <w:adjustRightInd w:val="0"/>
        <w:snapToGrid w:val="0"/>
        <w:spacing w:beforeLines="100" w:line="540" w:lineRule="exact"/>
        <w:jc w:val="both"/>
        <w:rPr>
          <w:rFonts w:ascii="方正小标宋_GBK" w:eastAsia="方正小标宋_GBK"/>
          <w:color w:val="auto"/>
          <w:lang w:eastAsia="zh-CN"/>
        </w:rPr>
      </w:pPr>
    </w:p>
    <w:p>
      <w:pPr>
        <w:pStyle w:val="4"/>
        <w:ind w:left="0" w:leftChars="0" w:firstLine="0" w:firstLineChars="0"/>
        <w:rPr>
          <w:lang w:eastAsia="zh-CN"/>
        </w:rPr>
      </w:pPr>
      <w:bookmarkStart w:id="0" w:name="_GoBack"/>
      <w:bookmarkEnd w:id="0"/>
    </w:p>
    <w:sectPr>
      <w:footerReference r:id="rId3" w:type="default"/>
      <w:footerReference r:id="rId4" w:type="even"/>
      <w:pgSz w:w="11906" w:h="16838"/>
      <w:pgMar w:top="2098" w:right="1531" w:bottom="1984" w:left="1531" w:header="851" w:footer="992"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38785" cy="123190"/>
              <wp:effectExtent l="0" t="0" r="0" b="0"/>
              <wp:wrapNone/>
              <wp:docPr id="1" name="Shape 2"/>
              <wp:cNvGraphicFramePr/>
              <a:graphic xmlns:a="http://schemas.openxmlformats.org/drawingml/2006/main">
                <a:graphicData uri="http://schemas.microsoft.com/office/word/2010/wordprocessingShape">
                  <wps:wsp>
                    <wps:cNvSpPr txBox="1"/>
                    <wps:spPr>
                      <a:xfrm>
                        <a:off x="0" y="0"/>
                        <a:ext cx="438785" cy="123190"/>
                      </a:xfrm>
                      <a:prstGeom prst="rect">
                        <a:avLst/>
                      </a:prstGeom>
                      <a:noFill/>
                      <a:ln>
                        <a:noFill/>
                      </a:ln>
                    </wps:spPr>
                    <wps:txbx>
                      <w:txbxContent>
                        <w:p>
                          <w:pPr>
                            <w:pStyle w:val="1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Shape 2" o:spid="_x0000_s1026" o:spt="202" type="#_x0000_t202" style="position:absolute;left:0pt;margin-top:0pt;height:9.7pt;width:34.55pt;mso-position-horizontal:outside;mso-position-horizontal-relative:margin;mso-wrap-style:none;z-index:251659264;mso-width-relative:page;mso-height-relative:page;" filled="f" stroked="f" coordsize="21600,21600" o:gfxdata="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Fma0QAAAAMBAAAPAAAAAAAAAAEAIAAAACIAAABkcnMvZG93bnJldi54bWxQSwECFAAUAAAA&#10;CACHTuJA8t4rM7wBAACTAwAADgAAAAAAAAABACAAAAAgAQAAZHJzL2Uyb0RvYy54bWxQSwUGAAAA&#10;AAYABgBZAQAATgUAAAAA&#10;">
              <v:fill on="f" focussize="0,0"/>
              <v:stroke on="f"/>
              <v:imagedata o:title=""/>
              <o:lock v:ext="edit" aspectratio="f"/>
              <v:textbox inset="0mm,0mm,0mm,0mm" style="mso-fit-shape-to-text:t;">
                <w:txbxContent>
                  <w:p>
                    <w:pPr>
                      <w:pStyle w:val="1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38785" cy="118745"/>
              <wp:effectExtent l="0" t="0" r="0" b="0"/>
              <wp:wrapNone/>
              <wp:docPr id="2" name="Shape 4"/>
              <wp:cNvGraphicFramePr/>
              <a:graphic xmlns:a="http://schemas.openxmlformats.org/drawingml/2006/main">
                <a:graphicData uri="http://schemas.microsoft.com/office/word/2010/wordprocessingShape">
                  <wps:wsp>
                    <wps:cNvSpPr txBox="1"/>
                    <wps:spPr>
                      <a:xfrm>
                        <a:off x="0" y="0"/>
                        <a:ext cx="438785" cy="118745"/>
                      </a:xfrm>
                      <a:prstGeom prst="rect">
                        <a:avLst/>
                      </a:prstGeom>
                      <a:noFill/>
                      <a:ln>
                        <a:noFill/>
                      </a:ln>
                    </wps:spPr>
                    <wps:txbx>
                      <w:txbxContent>
                        <w:p>
                          <w:pPr>
                            <w:pStyle w:val="1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Shape 4" o:spid="_x0000_s1026" o:spt="202" type="#_x0000_t202" style="position:absolute;left:0pt;margin-top:0pt;height:9.35pt;width:34.55pt;mso-position-horizontal:outside;mso-position-horizontal-relative:margin;mso-wrap-style:none;z-index:251660288;mso-width-relative:page;mso-height-relative:page;" filled="f" stroked="f" coordsize="21600,21600" o:gfxdata="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JFaFzQAAAAAwEAAA8AAAAAAAAAAQAgAAAAIgAAAGRycy9kb3ducmV2LnhtbFBLAQIUABQAAAAI&#10;AIdO4kCh2mTavAEAAJMDAAAOAAAAAAAAAAEAIAAAAB8BAABkcnMvZTJvRG9jLnhtbFBLBQYAAAAA&#10;BgAGAFkBAABNBQAAAAA=&#10;">
              <v:fill on="f" focussize="0,0"/>
              <v:stroke on="f"/>
              <v:imagedata o:title=""/>
              <o:lock v:ext="edit" aspectratio="f"/>
              <v:textbox inset="0mm,0mm,0mm,0mm" style="mso-fit-shape-to-text:t;">
                <w:txbxContent>
                  <w:p>
                    <w:pPr>
                      <w:pStyle w:val="15"/>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24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OWQwODI0ZDU4MmEyZjE4YjY5Njc3MjQxY2FkNGYifQ=="/>
  </w:docVars>
  <w:rsids>
    <w:rsidRoot w:val="00B00234"/>
    <w:rsid w:val="000240F1"/>
    <w:rsid w:val="00027097"/>
    <w:rsid w:val="00032F27"/>
    <w:rsid w:val="00054E7C"/>
    <w:rsid w:val="00060E78"/>
    <w:rsid w:val="000621E3"/>
    <w:rsid w:val="00066DE0"/>
    <w:rsid w:val="00080EB9"/>
    <w:rsid w:val="00083B38"/>
    <w:rsid w:val="000938E0"/>
    <w:rsid w:val="00094A01"/>
    <w:rsid w:val="000B589A"/>
    <w:rsid w:val="000F00C4"/>
    <w:rsid w:val="000F2175"/>
    <w:rsid w:val="0010262F"/>
    <w:rsid w:val="001071B8"/>
    <w:rsid w:val="00111065"/>
    <w:rsid w:val="001131C2"/>
    <w:rsid w:val="00125DAE"/>
    <w:rsid w:val="001362A5"/>
    <w:rsid w:val="00136E8C"/>
    <w:rsid w:val="001427B3"/>
    <w:rsid w:val="0014464A"/>
    <w:rsid w:val="00175036"/>
    <w:rsid w:val="0017661B"/>
    <w:rsid w:val="00176FA7"/>
    <w:rsid w:val="001931D5"/>
    <w:rsid w:val="001947B2"/>
    <w:rsid w:val="00194CA8"/>
    <w:rsid w:val="00196032"/>
    <w:rsid w:val="001C5C35"/>
    <w:rsid w:val="001D54D9"/>
    <w:rsid w:val="001E5157"/>
    <w:rsid w:val="001E5BBF"/>
    <w:rsid w:val="00226784"/>
    <w:rsid w:val="00232BF7"/>
    <w:rsid w:val="00245526"/>
    <w:rsid w:val="00254584"/>
    <w:rsid w:val="00267159"/>
    <w:rsid w:val="002832A2"/>
    <w:rsid w:val="002A7541"/>
    <w:rsid w:val="002F20D0"/>
    <w:rsid w:val="003067FF"/>
    <w:rsid w:val="00307089"/>
    <w:rsid w:val="00335A50"/>
    <w:rsid w:val="003460C0"/>
    <w:rsid w:val="003528B6"/>
    <w:rsid w:val="00371B3D"/>
    <w:rsid w:val="003908AE"/>
    <w:rsid w:val="003B14F3"/>
    <w:rsid w:val="003C1854"/>
    <w:rsid w:val="003C25BC"/>
    <w:rsid w:val="003C5E73"/>
    <w:rsid w:val="003F26EB"/>
    <w:rsid w:val="003F5C31"/>
    <w:rsid w:val="00400A44"/>
    <w:rsid w:val="00401C01"/>
    <w:rsid w:val="00411E31"/>
    <w:rsid w:val="004141A1"/>
    <w:rsid w:val="00414860"/>
    <w:rsid w:val="00417B55"/>
    <w:rsid w:val="00422B1D"/>
    <w:rsid w:val="00446F42"/>
    <w:rsid w:val="00457303"/>
    <w:rsid w:val="00471E2D"/>
    <w:rsid w:val="00475AF1"/>
    <w:rsid w:val="0048511B"/>
    <w:rsid w:val="004913B3"/>
    <w:rsid w:val="00497B92"/>
    <w:rsid w:val="004B3A30"/>
    <w:rsid w:val="004B4320"/>
    <w:rsid w:val="004C67AB"/>
    <w:rsid w:val="004F191D"/>
    <w:rsid w:val="00501E47"/>
    <w:rsid w:val="00504983"/>
    <w:rsid w:val="00511B52"/>
    <w:rsid w:val="005253A0"/>
    <w:rsid w:val="00543154"/>
    <w:rsid w:val="005464B6"/>
    <w:rsid w:val="00570384"/>
    <w:rsid w:val="005C5DB5"/>
    <w:rsid w:val="005D6348"/>
    <w:rsid w:val="005D6C85"/>
    <w:rsid w:val="005E2FDC"/>
    <w:rsid w:val="005F58B0"/>
    <w:rsid w:val="00601A79"/>
    <w:rsid w:val="0062768D"/>
    <w:rsid w:val="00633DD3"/>
    <w:rsid w:val="00654BDC"/>
    <w:rsid w:val="00671B61"/>
    <w:rsid w:val="006C7D97"/>
    <w:rsid w:val="006E673E"/>
    <w:rsid w:val="0070708F"/>
    <w:rsid w:val="0072136A"/>
    <w:rsid w:val="00736D01"/>
    <w:rsid w:val="0073787D"/>
    <w:rsid w:val="0074129A"/>
    <w:rsid w:val="00742CBB"/>
    <w:rsid w:val="00754FEF"/>
    <w:rsid w:val="00755D10"/>
    <w:rsid w:val="00763865"/>
    <w:rsid w:val="0078130B"/>
    <w:rsid w:val="007832A3"/>
    <w:rsid w:val="007A2211"/>
    <w:rsid w:val="007F4DC7"/>
    <w:rsid w:val="00833495"/>
    <w:rsid w:val="00834FEA"/>
    <w:rsid w:val="00846751"/>
    <w:rsid w:val="00855AC8"/>
    <w:rsid w:val="0085719E"/>
    <w:rsid w:val="008651DC"/>
    <w:rsid w:val="0088759E"/>
    <w:rsid w:val="0089529E"/>
    <w:rsid w:val="008A1392"/>
    <w:rsid w:val="008A1995"/>
    <w:rsid w:val="008A3640"/>
    <w:rsid w:val="008B178B"/>
    <w:rsid w:val="008C45BF"/>
    <w:rsid w:val="008D7AF3"/>
    <w:rsid w:val="008E504B"/>
    <w:rsid w:val="008F4422"/>
    <w:rsid w:val="00901175"/>
    <w:rsid w:val="00904DE8"/>
    <w:rsid w:val="00905B17"/>
    <w:rsid w:val="00911D03"/>
    <w:rsid w:val="0092415F"/>
    <w:rsid w:val="00926481"/>
    <w:rsid w:val="00952EAF"/>
    <w:rsid w:val="009561F7"/>
    <w:rsid w:val="00961FC8"/>
    <w:rsid w:val="009813B8"/>
    <w:rsid w:val="0099722E"/>
    <w:rsid w:val="009A216E"/>
    <w:rsid w:val="009A31C3"/>
    <w:rsid w:val="009A7760"/>
    <w:rsid w:val="009B4F90"/>
    <w:rsid w:val="009B6421"/>
    <w:rsid w:val="009C24BF"/>
    <w:rsid w:val="009E02E8"/>
    <w:rsid w:val="009E0CAE"/>
    <w:rsid w:val="009F11AF"/>
    <w:rsid w:val="00A2441E"/>
    <w:rsid w:val="00A3026F"/>
    <w:rsid w:val="00A52D14"/>
    <w:rsid w:val="00A6679A"/>
    <w:rsid w:val="00A71A71"/>
    <w:rsid w:val="00A84477"/>
    <w:rsid w:val="00A85E7A"/>
    <w:rsid w:val="00A90281"/>
    <w:rsid w:val="00A965EC"/>
    <w:rsid w:val="00AC43A9"/>
    <w:rsid w:val="00AD5381"/>
    <w:rsid w:val="00AE6BE0"/>
    <w:rsid w:val="00AE6F08"/>
    <w:rsid w:val="00AF6B7D"/>
    <w:rsid w:val="00AF70F2"/>
    <w:rsid w:val="00B00234"/>
    <w:rsid w:val="00B068B6"/>
    <w:rsid w:val="00B33BE3"/>
    <w:rsid w:val="00B33C5B"/>
    <w:rsid w:val="00B55586"/>
    <w:rsid w:val="00B940FB"/>
    <w:rsid w:val="00B9580E"/>
    <w:rsid w:val="00BB05DD"/>
    <w:rsid w:val="00BB369B"/>
    <w:rsid w:val="00BB79E5"/>
    <w:rsid w:val="00BC561E"/>
    <w:rsid w:val="00BD41C5"/>
    <w:rsid w:val="00BD461F"/>
    <w:rsid w:val="00BD5E40"/>
    <w:rsid w:val="00BE744F"/>
    <w:rsid w:val="00BF10DF"/>
    <w:rsid w:val="00BF5210"/>
    <w:rsid w:val="00C101F6"/>
    <w:rsid w:val="00C1085E"/>
    <w:rsid w:val="00C424A2"/>
    <w:rsid w:val="00C552FD"/>
    <w:rsid w:val="00C65C1C"/>
    <w:rsid w:val="00C71E3F"/>
    <w:rsid w:val="00C82FBA"/>
    <w:rsid w:val="00C85A82"/>
    <w:rsid w:val="00CA5525"/>
    <w:rsid w:val="00CA74D1"/>
    <w:rsid w:val="00CB266C"/>
    <w:rsid w:val="00CC1D11"/>
    <w:rsid w:val="00CC24B9"/>
    <w:rsid w:val="00CC2C59"/>
    <w:rsid w:val="00CD7BC4"/>
    <w:rsid w:val="00CF59F0"/>
    <w:rsid w:val="00D02462"/>
    <w:rsid w:val="00D142E8"/>
    <w:rsid w:val="00D205A0"/>
    <w:rsid w:val="00D63B4E"/>
    <w:rsid w:val="00D73BE1"/>
    <w:rsid w:val="00D81418"/>
    <w:rsid w:val="00D835A2"/>
    <w:rsid w:val="00D85A9B"/>
    <w:rsid w:val="00DA5C64"/>
    <w:rsid w:val="00DB4084"/>
    <w:rsid w:val="00DB724C"/>
    <w:rsid w:val="00E1156A"/>
    <w:rsid w:val="00E17702"/>
    <w:rsid w:val="00E32715"/>
    <w:rsid w:val="00E333EE"/>
    <w:rsid w:val="00E35D5F"/>
    <w:rsid w:val="00E6557B"/>
    <w:rsid w:val="00E7703F"/>
    <w:rsid w:val="00E917BC"/>
    <w:rsid w:val="00E92524"/>
    <w:rsid w:val="00E945C5"/>
    <w:rsid w:val="00EC703F"/>
    <w:rsid w:val="00EE7F88"/>
    <w:rsid w:val="00F1194A"/>
    <w:rsid w:val="00F32828"/>
    <w:rsid w:val="00F45D31"/>
    <w:rsid w:val="00F655F9"/>
    <w:rsid w:val="00F71C87"/>
    <w:rsid w:val="00FA779D"/>
    <w:rsid w:val="00FA795A"/>
    <w:rsid w:val="00FD62C4"/>
    <w:rsid w:val="00FE7CCE"/>
    <w:rsid w:val="00FF1D21"/>
    <w:rsid w:val="01E274B5"/>
    <w:rsid w:val="09F63CAA"/>
    <w:rsid w:val="0BBA4FFF"/>
    <w:rsid w:val="0C2915A4"/>
    <w:rsid w:val="0ED5281A"/>
    <w:rsid w:val="0FD77F2D"/>
    <w:rsid w:val="152F6116"/>
    <w:rsid w:val="17CF3BE0"/>
    <w:rsid w:val="18A64941"/>
    <w:rsid w:val="1948345B"/>
    <w:rsid w:val="1DA13929"/>
    <w:rsid w:val="1E313535"/>
    <w:rsid w:val="210E7527"/>
    <w:rsid w:val="21CD1190"/>
    <w:rsid w:val="25E81DF4"/>
    <w:rsid w:val="26142C1A"/>
    <w:rsid w:val="26D227E7"/>
    <w:rsid w:val="289C18BC"/>
    <w:rsid w:val="2BDD46C6"/>
    <w:rsid w:val="30C0453E"/>
    <w:rsid w:val="31280191"/>
    <w:rsid w:val="321626E0"/>
    <w:rsid w:val="3261287A"/>
    <w:rsid w:val="345F6A84"/>
    <w:rsid w:val="39AE1450"/>
    <w:rsid w:val="40D54FA4"/>
    <w:rsid w:val="414C2F42"/>
    <w:rsid w:val="42BE6BA7"/>
    <w:rsid w:val="43E940FF"/>
    <w:rsid w:val="44860EF6"/>
    <w:rsid w:val="45186DEB"/>
    <w:rsid w:val="45F428E0"/>
    <w:rsid w:val="46815774"/>
    <w:rsid w:val="46C67DD9"/>
    <w:rsid w:val="47042958"/>
    <w:rsid w:val="48FD5F50"/>
    <w:rsid w:val="49431BB4"/>
    <w:rsid w:val="4A03390B"/>
    <w:rsid w:val="4BFC24EE"/>
    <w:rsid w:val="59443EC1"/>
    <w:rsid w:val="5DD716BC"/>
    <w:rsid w:val="5F412A3D"/>
    <w:rsid w:val="60567ABC"/>
    <w:rsid w:val="60FB0B6F"/>
    <w:rsid w:val="616659E9"/>
    <w:rsid w:val="620F6680"/>
    <w:rsid w:val="63293771"/>
    <w:rsid w:val="63B315C3"/>
    <w:rsid w:val="672C3827"/>
    <w:rsid w:val="6E3C2B7F"/>
    <w:rsid w:val="6E865F1C"/>
    <w:rsid w:val="73ED4347"/>
    <w:rsid w:val="776E4808"/>
    <w:rsid w:val="7A43488C"/>
    <w:rsid w:val="7B30793B"/>
    <w:rsid w:val="7D1D18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4">
    <w:name w:val="Normal Indent"/>
    <w:basedOn w:val="1"/>
    <w:unhideWhenUsed/>
    <w:qFormat/>
    <w:uiPriority w:val="0"/>
    <w:pPr>
      <w:ind w:firstLine="420" w:firstLineChars="200"/>
    </w:pPr>
  </w:style>
  <w:style w:type="paragraph" w:styleId="5">
    <w:name w:val="Balloon Text"/>
    <w:basedOn w:val="1"/>
    <w:link w:val="20"/>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Emphasis"/>
    <w:basedOn w:val="10"/>
    <w:qFormat/>
    <w:uiPriority w:val="20"/>
    <w:rPr>
      <w:i/>
      <w:iCs/>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Header or footer|2_"/>
    <w:basedOn w:val="10"/>
    <w:link w:val="15"/>
    <w:qFormat/>
    <w:uiPriority w:val="0"/>
    <w:rPr>
      <w:sz w:val="20"/>
      <w:szCs w:val="20"/>
      <w:lang w:val="zh-TW" w:eastAsia="zh-TW" w:bidi="zh-TW"/>
    </w:rPr>
  </w:style>
  <w:style w:type="paragraph" w:customStyle="1" w:styleId="15">
    <w:name w:val="Header or footer|2"/>
    <w:basedOn w:val="1"/>
    <w:link w:val="14"/>
    <w:qFormat/>
    <w:uiPriority w:val="0"/>
    <w:rPr>
      <w:rFonts w:asciiTheme="minorHAnsi" w:hAnsiTheme="minorHAnsi" w:eastAsiaTheme="minorEastAsia" w:cstheme="minorBidi"/>
      <w:color w:val="auto"/>
      <w:kern w:val="2"/>
      <w:sz w:val="20"/>
      <w:szCs w:val="20"/>
      <w:lang w:val="zh-TW" w:eastAsia="zh-TW" w:bidi="zh-TW"/>
    </w:rPr>
  </w:style>
  <w:style w:type="character" w:customStyle="1" w:styleId="16">
    <w:name w:val="Body text|1_"/>
    <w:basedOn w:val="10"/>
    <w:link w:val="17"/>
    <w:qFormat/>
    <w:uiPriority w:val="0"/>
    <w:rPr>
      <w:rFonts w:ascii="宋体" w:hAnsi="宋体" w:eastAsia="宋体" w:cs="宋体"/>
      <w:sz w:val="30"/>
      <w:szCs w:val="30"/>
      <w:lang w:val="zh-TW" w:eastAsia="zh-TW" w:bidi="zh-TW"/>
    </w:rPr>
  </w:style>
  <w:style w:type="paragraph" w:customStyle="1" w:styleId="17">
    <w:name w:val="Body text|1"/>
    <w:basedOn w:val="1"/>
    <w:link w:val="16"/>
    <w:qFormat/>
    <w:uiPriority w:val="0"/>
    <w:pPr>
      <w:spacing w:line="360" w:lineRule="auto"/>
      <w:ind w:firstLine="400"/>
    </w:pPr>
    <w:rPr>
      <w:rFonts w:ascii="宋体" w:hAnsi="宋体" w:eastAsia="宋体" w:cs="宋体"/>
      <w:color w:val="auto"/>
      <w:kern w:val="2"/>
      <w:sz w:val="30"/>
      <w:szCs w:val="30"/>
      <w:lang w:val="zh-TW" w:eastAsia="zh-TW" w:bidi="zh-TW"/>
    </w:rPr>
  </w:style>
  <w:style w:type="character" w:customStyle="1" w:styleId="18">
    <w:name w:val="Heading #2|1_"/>
    <w:basedOn w:val="10"/>
    <w:link w:val="19"/>
    <w:qFormat/>
    <w:uiPriority w:val="0"/>
    <w:rPr>
      <w:rFonts w:ascii="宋体" w:hAnsi="宋体" w:eastAsia="宋体" w:cs="宋体"/>
      <w:sz w:val="44"/>
      <w:szCs w:val="44"/>
      <w:lang w:val="zh-TW" w:eastAsia="zh-TW" w:bidi="zh-TW"/>
    </w:rPr>
  </w:style>
  <w:style w:type="paragraph" w:customStyle="1" w:styleId="19">
    <w:name w:val="Heading #2|1"/>
    <w:basedOn w:val="1"/>
    <w:link w:val="18"/>
    <w:qFormat/>
    <w:uiPriority w:val="0"/>
    <w:pPr>
      <w:spacing w:after="470" w:line="547" w:lineRule="exact"/>
      <w:jc w:val="center"/>
      <w:outlineLvl w:val="1"/>
    </w:pPr>
    <w:rPr>
      <w:rFonts w:ascii="宋体" w:hAnsi="宋体" w:eastAsia="宋体" w:cs="宋体"/>
      <w:color w:val="auto"/>
      <w:kern w:val="2"/>
      <w:sz w:val="44"/>
      <w:szCs w:val="44"/>
      <w:lang w:val="zh-TW" w:eastAsia="zh-TW" w:bidi="zh-TW"/>
    </w:rPr>
  </w:style>
  <w:style w:type="character" w:customStyle="1" w:styleId="20">
    <w:name w:val="批注框文本 Char"/>
    <w:basedOn w:val="10"/>
    <w:link w:val="5"/>
    <w:semiHidden/>
    <w:qFormat/>
    <w:uiPriority w:val="99"/>
    <w:rPr>
      <w:rFonts w:ascii="Times New Roman" w:hAnsi="Times New Roman" w:eastAsia="Times New Roman" w:cs="Times New Roman"/>
      <w:color w:val="000000"/>
      <w:kern w:val="0"/>
      <w:sz w:val="18"/>
      <w:szCs w:val="18"/>
      <w:lang w:eastAsia="en-US" w:bidi="en-US"/>
    </w:rPr>
  </w:style>
  <w:style w:type="paragraph" w:customStyle="1" w:styleId="21">
    <w:name w:val="标题 #3"/>
    <w:basedOn w:val="1"/>
    <w:link w:val="22"/>
    <w:qFormat/>
    <w:uiPriority w:val="99"/>
    <w:pPr>
      <w:shd w:val="clear" w:color="auto" w:fill="FFFFFF"/>
      <w:spacing w:after="300" w:line="240" w:lineRule="atLeast"/>
      <w:jc w:val="center"/>
      <w:outlineLvl w:val="2"/>
    </w:pPr>
    <w:rPr>
      <w:rFonts w:ascii="宋体" w:eastAsia="宋体" w:cs="宋体"/>
      <w:spacing w:val="-20"/>
      <w:sz w:val="42"/>
      <w:szCs w:val="42"/>
    </w:rPr>
  </w:style>
  <w:style w:type="character" w:customStyle="1" w:styleId="22">
    <w:name w:val="标题 #3_"/>
    <w:basedOn w:val="10"/>
    <w:link w:val="21"/>
    <w:qFormat/>
    <w:uiPriority w:val="99"/>
    <w:rPr>
      <w:rFonts w:ascii="宋体" w:eastAsia="宋体" w:cs="宋体"/>
      <w:spacing w:val="-2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5885</Words>
  <Characters>5993</Characters>
  <Lines>43</Lines>
  <Paragraphs>12</Paragraphs>
  <TotalTime>14</TotalTime>
  <ScaleCrop>false</ScaleCrop>
  <LinksUpToDate>false</LinksUpToDate>
  <CharactersWithSpaces>6116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2022-06-28T01:54:00Z</dcterms:created>
  <dc:creator>Windows User</dc:creator>
  <cp:lastModifiedBy>ASUS</cp:lastModifiedBy>
  <cp:lastPrinted>2022-06-13T02:25:00Z</cp:lastPrinted>
  <dcterms:modified xsi:type="dcterms:W3CDTF">2022-07-26T09:56:48Z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B068BCB531FA4FC79A504CFF837F9BB0</vt:lpwstr>
  </property>
</Properties>
</file>